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99" w:rsidRPr="007F1799" w:rsidRDefault="007F1799" w:rsidP="007F1799">
      <w:pPr>
        <w:widowControl/>
        <w:shd w:val="clear" w:color="auto" w:fill="FFFFFF"/>
        <w:spacing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b/>
          <w:bCs/>
          <w:color w:val="666666"/>
          <w:kern w:val="0"/>
          <w:sz w:val="28"/>
          <w:szCs w:val="28"/>
          <w:bdr w:val="none" w:sz="0" w:space="0" w:color="auto" w:frame="1"/>
        </w:rPr>
        <w:t>助您与时俱进：</w:t>
      </w:r>
      <w:r w:rsidRPr="007F1799">
        <w:rPr>
          <w:rFonts w:ascii="Arial" w:eastAsia="宋体" w:hAnsi="Arial" w:cs="Arial"/>
          <w:color w:val="666666"/>
          <w:kern w:val="0"/>
          <w:sz w:val="28"/>
          <w:szCs w:val="28"/>
          <w:bdr w:val="none" w:sz="0" w:space="0" w:color="auto" w:frame="1"/>
        </w:rPr>
        <w:t> 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br/>
      </w:r>
      <w:r w:rsidRPr="007F1799">
        <w:rPr>
          <w:rFonts w:ascii="Arial" w:eastAsia="宋体" w:hAnsi="Arial" w:cs="Arial"/>
          <w:b/>
          <w:bCs/>
          <w:color w:val="666666"/>
          <w:kern w:val="0"/>
          <w:sz w:val="24"/>
          <w:szCs w:val="24"/>
          <w:bdr w:val="none" w:sz="0" w:space="0" w:color="auto" w:frame="1"/>
        </w:rPr>
        <w:t>应用程序解决方案</w:t>
      </w:r>
      <w:r w:rsidRPr="007F1799">
        <w:rPr>
          <w:rFonts w:ascii="Arial" w:eastAsia="宋体" w:hAnsi="Arial" w:cs="Arial"/>
          <w:b/>
          <w:bCs/>
          <w:color w:val="666666"/>
          <w:kern w:val="0"/>
          <w:sz w:val="24"/>
          <w:szCs w:val="24"/>
          <w:bdr w:val="none" w:sz="0" w:space="0" w:color="auto" w:frame="1"/>
        </w:rPr>
        <w:br/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br/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随着业务的增长，必然会有越来越多的部署新应用程序和升级的需求。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随之而来的是有关应用程序和数据可用性的严格的服务水平协议，这使得形势更为严峻。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您可以利用合适的工具，应对应用程序和数据的保护、恢复和可用性挑战。</w:t>
      </w:r>
    </w:p>
    <w:p w:rsidR="007F1799" w:rsidRPr="007F1799" w:rsidRDefault="007F1799" w:rsidP="007F1799">
      <w:pPr>
        <w:widowControl/>
        <w:shd w:val="clear" w:color="auto" w:fill="FFFFFF"/>
        <w:spacing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我们能够帮您</w:t>
      </w:r>
    </w:p>
    <w:p w:rsidR="007F1799" w:rsidRPr="007F1799" w:rsidRDefault="007F1799" w:rsidP="007F1799">
      <w:pPr>
        <w:widowControl/>
        <w:numPr>
          <w:ilvl w:val="0"/>
          <w:numId w:val="14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简化和自动化数据保护和恢复任务。</w:t>
      </w:r>
    </w:p>
    <w:p w:rsidR="007F1799" w:rsidRPr="007F1799" w:rsidRDefault="007F1799" w:rsidP="007F1799">
      <w:pPr>
        <w:widowControl/>
        <w:numPr>
          <w:ilvl w:val="0"/>
          <w:numId w:val="14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为关键应用程序提供实时的持续数据保护。</w:t>
      </w:r>
    </w:p>
    <w:p w:rsidR="007F1799" w:rsidRPr="007F1799" w:rsidRDefault="007F1799" w:rsidP="007F1799">
      <w:pPr>
        <w:widowControl/>
        <w:numPr>
          <w:ilvl w:val="0"/>
          <w:numId w:val="14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在应用程序和服务器崩溃以及长期的紧迫且意外的灾难时，保持关键应用程序的高度可用性。</w:t>
      </w:r>
    </w:p>
    <w:p w:rsidR="007F1799" w:rsidRPr="007F1799" w:rsidRDefault="007F1799" w:rsidP="007F1799">
      <w:pPr>
        <w:widowControl/>
        <w:numPr>
          <w:ilvl w:val="0"/>
          <w:numId w:val="14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更有效地管理成本和复杂性。</w:t>
      </w:r>
    </w:p>
    <w:p w:rsidR="007F1799" w:rsidRPr="007F1799" w:rsidRDefault="007F1799" w:rsidP="007F1799">
      <w:pPr>
        <w:widowControl/>
        <w:numPr>
          <w:ilvl w:val="0"/>
          <w:numId w:val="14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最小化业务面临的风险。</w:t>
      </w:r>
    </w:p>
    <w:p w:rsidR="007F1799" w:rsidRPr="007F1799" w:rsidRDefault="007F1799" w:rsidP="007F1799">
      <w:pPr>
        <w:widowControl/>
        <w:numPr>
          <w:ilvl w:val="0"/>
          <w:numId w:val="14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利用云资源实现业务连续性和灾难恢复。</w:t>
      </w:r>
    </w:p>
    <w:p w:rsidR="007F1799" w:rsidRPr="007F1799" w:rsidRDefault="007F1799" w:rsidP="007F1799">
      <w:pPr>
        <w:widowControl/>
        <w:shd w:val="clear" w:color="auto" w:fill="FFFFFF"/>
        <w:spacing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CA </w:t>
      </w:r>
      <w:proofErr w:type="spellStart"/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ARCserve</w:t>
      </w:r>
      <w:proofErr w:type="spellEnd"/>
      <w:r w:rsidRPr="007F1799">
        <w:rPr>
          <w:rFonts w:ascii="Arial" w:eastAsia="宋体" w:hAnsi="Arial" w:cs="Arial"/>
          <w:color w:val="333333"/>
          <w:kern w:val="0"/>
          <w:sz w:val="20"/>
          <w:szCs w:val="20"/>
          <w:vertAlign w:val="superscript"/>
        </w:rPr>
        <w:t>®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 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系列产品包括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 </w:t>
      </w:r>
      <w:hyperlink r:id="rId6" w:history="1">
        <w:r w:rsidRPr="007F1799">
          <w:rPr>
            <w:rFonts w:ascii="Arial" w:eastAsia="宋体" w:hAnsi="Arial" w:cs="Arial"/>
            <w:color w:val="0071B2"/>
            <w:kern w:val="0"/>
            <w:sz w:val="20"/>
            <w:szCs w:val="20"/>
          </w:rPr>
          <w:t>CA ARCserve Backup</w:t>
        </w:r>
      </w:hyperlink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; </w:t>
      </w:r>
      <w:hyperlink r:id="rId7" w:history="1">
        <w:r w:rsidRPr="007F1799">
          <w:rPr>
            <w:rFonts w:ascii="Arial" w:eastAsia="宋体" w:hAnsi="Arial" w:cs="Arial"/>
            <w:color w:val="0071B2"/>
            <w:kern w:val="0"/>
            <w:sz w:val="20"/>
            <w:szCs w:val="20"/>
          </w:rPr>
          <w:t>CA ARCserve D2D</w:t>
        </w:r>
      </w:hyperlink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; </w:t>
      </w:r>
      <w:hyperlink r:id="rId8" w:history="1">
        <w:r w:rsidRPr="007F1799">
          <w:rPr>
            <w:rFonts w:ascii="Arial" w:eastAsia="宋体" w:hAnsi="Arial" w:cs="Arial"/>
            <w:color w:val="0071B2"/>
            <w:kern w:val="0"/>
            <w:sz w:val="20"/>
            <w:szCs w:val="20"/>
          </w:rPr>
          <w:t>CA ARCserve Replication</w:t>
        </w:r>
      </w:hyperlink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（原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CA </w:t>
      </w:r>
      <w:proofErr w:type="spellStart"/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XOsoft</w:t>
      </w:r>
      <w:proofErr w:type="spellEnd"/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™ Replication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）和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 </w:t>
      </w:r>
      <w:hyperlink r:id="rId9" w:history="1">
        <w:r w:rsidRPr="007F1799">
          <w:rPr>
            <w:rFonts w:ascii="Arial" w:eastAsia="宋体" w:hAnsi="Arial" w:cs="Arial"/>
            <w:color w:val="0071B2"/>
            <w:kern w:val="0"/>
            <w:sz w:val="20"/>
            <w:szCs w:val="20"/>
          </w:rPr>
          <w:t>CA ARCserve High Availability</w:t>
        </w:r>
      </w:hyperlink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（以前称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CA </w:t>
      </w:r>
      <w:proofErr w:type="spellStart"/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XOsoft</w:t>
      </w:r>
      <w:proofErr w:type="spellEnd"/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™ High Availability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）。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该系列产品为以下应用程序提供了综合的解决方案：</w:t>
      </w:r>
    </w:p>
    <w:p w:rsidR="007F1799" w:rsidRPr="007F1799" w:rsidRDefault="007F1799" w:rsidP="007F1799">
      <w:pPr>
        <w:widowControl/>
        <w:numPr>
          <w:ilvl w:val="0"/>
          <w:numId w:val="15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Microsoft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  <w:vertAlign w:val="superscript"/>
        </w:rPr>
        <w:t>®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 Exchange</w:t>
      </w:r>
    </w:p>
    <w:p w:rsidR="007F1799" w:rsidRPr="007F1799" w:rsidRDefault="007F1799" w:rsidP="007F1799">
      <w:pPr>
        <w:widowControl/>
        <w:numPr>
          <w:ilvl w:val="0"/>
          <w:numId w:val="15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Microsoft SQL Server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  <w:vertAlign w:val="superscript"/>
        </w:rPr>
        <w:t>®</w:t>
      </w:r>
    </w:p>
    <w:p w:rsidR="007F1799" w:rsidRPr="007F1799" w:rsidRDefault="007F1799" w:rsidP="007F1799">
      <w:pPr>
        <w:widowControl/>
        <w:numPr>
          <w:ilvl w:val="0"/>
          <w:numId w:val="15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Microsoft SharePoint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  <w:vertAlign w:val="superscript"/>
        </w:rPr>
        <w:t>®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 Server</w:t>
      </w:r>
    </w:p>
    <w:p w:rsidR="007F1799" w:rsidRPr="007F1799" w:rsidRDefault="007F1799" w:rsidP="007F1799">
      <w:pPr>
        <w:widowControl/>
        <w:numPr>
          <w:ilvl w:val="0"/>
          <w:numId w:val="15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Microsoft Dynamics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  <w:vertAlign w:val="superscript"/>
        </w:rPr>
        <w:t>®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 CRM</w:t>
      </w:r>
    </w:p>
    <w:p w:rsidR="007F1799" w:rsidRPr="007F1799" w:rsidRDefault="007F1799" w:rsidP="007F1799">
      <w:pPr>
        <w:widowControl/>
        <w:numPr>
          <w:ilvl w:val="0"/>
          <w:numId w:val="15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Oracle® Database</w:t>
      </w:r>
    </w:p>
    <w:p w:rsidR="007F1799" w:rsidRPr="007F1799" w:rsidRDefault="007F1799" w:rsidP="007F1799">
      <w:pPr>
        <w:widowControl/>
        <w:numPr>
          <w:ilvl w:val="0"/>
          <w:numId w:val="15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许多其他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proofErr w:type="spellStart"/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Windows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  <w:vertAlign w:val="superscript"/>
        </w:rPr>
        <w:t>®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Linux</w:t>
      </w:r>
      <w:proofErr w:type="spellEnd"/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和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UNIX </w:t>
      </w: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应用程序</w:t>
      </w:r>
    </w:p>
    <w:p w:rsidR="007F1799" w:rsidRPr="007F1799" w:rsidRDefault="007F1799" w:rsidP="007F1799">
      <w:pPr>
        <w:widowControl/>
        <w:shd w:val="clear" w:color="auto" w:fill="FFFFFF"/>
        <w:spacing w:after="225"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7F1799">
        <w:rPr>
          <w:rFonts w:ascii="Arial" w:eastAsia="宋体" w:hAnsi="Arial" w:cs="Arial"/>
          <w:color w:val="333333"/>
          <w:kern w:val="0"/>
          <w:sz w:val="20"/>
          <w:szCs w:val="20"/>
        </w:rPr>
        <w:t>这些模块化产品可一起使用，也可以分别作为点解决方案与其他技术一起使用。</w:t>
      </w:r>
    </w:p>
    <w:p w:rsidR="003410E2" w:rsidRPr="007F1799" w:rsidRDefault="003410E2" w:rsidP="007F1799">
      <w:bookmarkStart w:id="0" w:name="_GoBack"/>
      <w:bookmarkEnd w:id="0"/>
    </w:p>
    <w:sectPr w:rsidR="003410E2" w:rsidRPr="007F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5B"/>
    <w:multiLevelType w:val="multilevel"/>
    <w:tmpl w:val="B77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9B0"/>
    <w:multiLevelType w:val="multilevel"/>
    <w:tmpl w:val="C56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200"/>
    <w:multiLevelType w:val="multilevel"/>
    <w:tmpl w:val="99C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720A2"/>
    <w:multiLevelType w:val="multilevel"/>
    <w:tmpl w:val="1D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D5585"/>
    <w:multiLevelType w:val="multilevel"/>
    <w:tmpl w:val="462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96D32"/>
    <w:multiLevelType w:val="multilevel"/>
    <w:tmpl w:val="D25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E7E84"/>
    <w:multiLevelType w:val="multilevel"/>
    <w:tmpl w:val="A90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1B22E6"/>
    <w:multiLevelType w:val="multilevel"/>
    <w:tmpl w:val="0D5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C4957"/>
    <w:multiLevelType w:val="multilevel"/>
    <w:tmpl w:val="AB8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14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0878B1"/>
    <w:rsid w:val="00147017"/>
    <w:rsid w:val="003410E2"/>
    <w:rsid w:val="00346566"/>
    <w:rsid w:val="004F310D"/>
    <w:rsid w:val="00576F5F"/>
    <w:rsid w:val="00757E8A"/>
    <w:rsid w:val="007D4CE3"/>
    <w:rsid w:val="007F1799"/>
    <w:rsid w:val="008472CC"/>
    <w:rsid w:val="00C37A2F"/>
    <w:rsid w:val="00C96DEE"/>
    <w:rsid w:val="00E67166"/>
    <w:rsid w:val="00ED605B"/>
    <w:rsid w:val="00F163C9"/>
    <w:rsid w:val="00F37A2E"/>
    <w:rsid w:val="00FA4AD4"/>
    <w:rsid w:val="00FA6E34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erve.com/cn/products/ca-arcserve-replication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cserve.com/cn/products/ca-arcserve-d2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serve.com/cn/products/ca-arcserve-backup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cserve.com/cn/products/ca-arcserve-high-availability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2013-12-27T09:24:00Z</dcterms:created>
  <dcterms:modified xsi:type="dcterms:W3CDTF">2013-12-27T09:25:00Z</dcterms:modified>
</cp:coreProperties>
</file>